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2A6B" w:rsidRDefault="00792A6B" w:rsidP="00792A6B">
      <w:pPr>
        <w:jc w:val="center"/>
        <w:rPr>
          <w:rFonts w:ascii="Times New Roman" w:hAnsi="Times New Roman" w:cs="Times New Roman"/>
          <w:sz w:val="24"/>
          <w:szCs w:val="24"/>
        </w:rPr>
      </w:pPr>
    </w:p>
    <w:p w:rsidR="00792A6B" w:rsidRDefault="00792A6B" w:rsidP="00792A6B">
      <w:pPr>
        <w:jc w:val="center"/>
        <w:rPr>
          <w:rFonts w:ascii="Times New Roman" w:hAnsi="Times New Roman" w:cs="Times New Roman"/>
          <w:sz w:val="24"/>
          <w:szCs w:val="24"/>
        </w:rPr>
      </w:pPr>
    </w:p>
    <w:p w:rsidR="00792A6B" w:rsidRDefault="00792A6B" w:rsidP="00792A6B">
      <w:pPr>
        <w:jc w:val="center"/>
        <w:rPr>
          <w:rFonts w:ascii="Times New Roman" w:hAnsi="Times New Roman" w:cs="Times New Roman"/>
          <w:sz w:val="24"/>
          <w:szCs w:val="24"/>
        </w:rPr>
      </w:pPr>
    </w:p>
    <w:p w:rsidR="00792A6B" w:rsidRDefault="00792A6B" w:rsidP="00792A6B">
      <w:pPr>
        <w:jc w:val="center"/>
        <w:rPr>
          <w:rFonts w:ascii="Times New Roman" w:hAnsi="Times New Roman" w:cs="Times New Roman"/>
          <w:sz w:val="24"/>
          <w:szCs w:val="24"/>
        </w:rPr>
      </w:pPr>
    </w:p>
    <w:p w:rsidR="00792A6B" w:rsidRDefault="00792A6B" w:rsidP="00792A6B">
      <w:pPr>
        <w:jc w:val="center"/>
        <w:rPr>
          <w:rFonts w:ascii="Times New Roman" w:hAnsi="Times New Roman" w:cs="Times New Roman"/>
          <w:sz w:val="24"/>
          <w:szCs w:val="24"/>
        </w:rPr>
      </w:pPr>
    </w:p>
    <w:p w:rsidR="00792A6B" w:rsidRDefault="00792A6B" w:rsidP="00792A6B">
      <w:pPr>
        <w:jc w:val="center"/>
        <w:rPr>
          <w:rFonts w:ascii="Times New Roman" w:hAnsi="Times New Roman" w:cs="Times New Roman"/>
          <w:sz w:val="24"/>
          <w:szCs w:val="24"/>
        </w:rPr>
      </w:pPr>
    </w:p>
    <w:p w:rsidR="00792A6B" w:rsidRDefault="00792A6B" w:rsidP="00792A6B">
      <w:pPr>
        <w:jc w:val="center"/>
        <w:rPr>
          <w:rFonts w:ascii="Times New Roman" w:hAnsi="Times New Roman" w:cs="Times New Roman"/>
          <w:sz w:val="24"/>
          <w:szCs w:val="24"/>
        </w:rPr>
      </w:pPr>
    </w:p>
    <w:p w:rsidR="00792A6B" w:rsidRDefault="00792A6B" w:rsidP="00792A6B">
      <w:pPr>
        <w:jc w:val="center"/>
        <w:rPr>
          <w:rFonts w:ascii="Times New Roman" w:hAnsi="Times New Roman" w:cs="Times New Roman"/>
          <w:sz w:val="24"/>
          <w:szCs w:val="24"/>
        </w:rPr>
      </w:pPr>
    </w:p>
    <w:p w:rsidR="00792A6B" w:rsidRDefault="00792A6B" w:rsidP="00792A6B">
      <w:pPr>
        <w:jc w:val="center"/>
        <w:rPr>
          <w:rFonts w:ascii="Times New Roman" w:hAnsi="Times New Roman" w:cs="Times New Roman"/>
          <w:sz w:val="24"/>
          <w:szCs w:val="24"/>
        </w:rPr>
      </w:pPr>
    </w:p>
    <w:p w:rsidR="00792A6B" w:rsidRDefault="00792A6B" w:rsidP="00792A6B">
      <w:pPr>
        <w:jc w:val="center"/>
        <w:rPr>
          <w:rFonts w:ascii="Times New Roman" w:hAnsi="Times New Roman" w:cs="Times New Roman"/>
          <w:sz w:val="24"/>
          <w:szCs w:val="24"/>
        </w:rPr>
      </w:pPr>
    </w:p>
    <w:p w:rsidR="00792A6B" w:rsidRPr="00792A6B" w:rsidRDefault="00792A6B" w:rsidP="00792A6B">
      <w:pPr>
        <w:jc w:val="center"/>
        <w:rPr>
          <w:rFonts w:ascii="Times New Roman" w:hAnsi="Times New Roman" w:cs="Times New Roman"/>
          <w:sz w:val="24"/>
          <w:szCs w:val="24"/>
        </w:rPr>
      </w:pPr>
      <w:bookmarkStart w:id="0" w:name="_GoBack"/>
      <w:r w:rsidRPr="00792A6B">
        <w:rPr>
          <w:rFonts w:ascii="Times New Roman" w:hAnsi="Times New Roman" w:cs="Times New Roman"/>
          <w:sz w:val="24"/>
          <w:szCs w:val="24"/>
        </w:rPr>
        <w:t>Emerging Markets</w:t>
      </w:r>
    </w:p>
    <w:bookmarkEnd w:id="0"/>
    <w:p w:rsidR="00792A6B" w:rsidRPr="00792A6B" w:rsidRDefault="00792A6B" w:rsidP="00792A6B">
      <w:pPr>
        <w:jc w:val="center"/>
        <w:rPr>
          <w:rFonts w:ascii="Times New Roman" w:hAnsi="Times New Roman" w:cs="Times New Roman"/>
          <w:sz w:val="24"/>
          <w:szCs w:val="24"/>
        </w:rPr>
      </w:pPr>
      <w:r w:rsidRPr="00792A6B">
        <w:rPr>
          <w:rFonts w:ascii="Times New Roman" w:hAnsi="Times New Roman" w:cs="Times New Roman"/>
          <w:sz w:val="24"/>
          <w:szCs w:val="24"/>
        </w:rPr>
        <w:t>Name</w:t>
      </w:r>
    </w:p>
    <w:p w:rsidR="00792A6B" w:rsidRPr="00792A6B" w:rsidRDefault="00792A6B" w:rsidP="00792A6B">
      <w:pPr>
        <w:jc w:val="center"/>
        <w:rPr>
          <w:rFonts w:ascii="Times New Roman" w:hAnsi="Times New Roman" w:cs="Times New Roman"/>
          <w:sz w:val="24"/>
          <w:szCs w:val="24"/>
        </w:rPr>
      </w:pPr>
      <w:r w:rsidRPr="00792A6B">
        <w:rPr>
          <w:rFonts w:ascii="Times New Roman" w:hAnsi="Times New Roman" w:cs="Times New Roman"/>
          <w:sz w:val="24"/>
          <w:szCs w:val="24"/>
        </w:rPr>
        <w:t xml:space="preserve">Institutional Affiliation </w:t>
      </w:r>
      <w:r w:rsidRPr="00792A6B">
        <w:rPr>
          <w:rFonts w:ascii="Times New Roman" w:hAnsi="Times New Roman" w:cs="Times New Roman"/>
          <w:sz w:val="24"/>
          <w:szCs w:val="24"/>
        </w:rPr>
        <w:br w:type="page"/>
      </w:r>
    </w:p>
    <w:p w:rsidR="004022E5" w:rsidRPr="004022E5" w:rsidRDefault="004022E5" w:rsidP="00E17D53">
      <w:pPr>
        <w:spacing w:after="0" w:line="480" w:lineRule="auto"/>
        <w:contextualSpacing/>
        <w:jc w:val="center"/>
        <w:rPr>
          <w:rFonts w:ascii="Times New Roman" w:hAnsi="Times New Roman" w:cs="Times New Roman"/>
          <w:b/>
          <w:sz w:val="24"/>
          <w:szCs w:val="24"/>
        </w:rPr>
      </w:pPr>
      <w:r w:rsidRPr="004022E5">
        <w:rPr>
          <w:rFonts w:ascii="Times New Roman" w:hAnsi="Times New Roman" w:cs="Times New Roman"/>
          <w:b/>
          <w:sz w:val="24"/>
          <w:szCs w:val="24"/>
        </w:rPr>
        <w:lastRenderedPageBreak/>
        <w:t>Emerging Markets</w:t>
      </w:r>
    </w:p>
    <w:p w:rsidR="00FE518A" w:rsidRPr="00771EB4" w:rsidRDefault="00C84716" w:rsidP="00E17D53">
      <w:pPr>
        <w:spacing w:after="0" w:line="480" w:lineRule="auto"/>
        <w:ind w:firstLine="720"/>
        <w:contextualSpacing/>
        <w:rPr>
          <w:rFonts w:ascii="Times New Roman" w:hAnsi="Times New Roman" w:cs="Times New Roman"/>
          <w:sz w:val="24"/>
          <w:szCs w:val="24"/>
        </w:rPr>
      </w:pPr>
      <w:r w:rsidRPr="00771EB4">
        <w:rPr>
          <w:rFonts w:ascii="Times New Roman" w:hAnsi="Times New Roman" w:cs="Times New Roman"/>
          <w:sz w:val="24"/>
          <w:szCs w:val="24"/>
        </w:rPr>
        <w:t>Emerging markets continue to roar and most have been rebounding strongly since the previous crisis. However multitudes of challenges have been all way present and causing great effects to the markets.  Of this fundamental challenges include</w:t>
      </w:r>
      <w:r w:rsidR="00E055AD">
        <w:rPr>
          <w:rFonts w:ascii="Times New Roman" w:hAnsi="Times New Roman" w:cs="Times New Roman"/>
          <w:sz w:val="24"/>
          <w:szCs w:val="24"/>
        </w:rPr>
        <w:t>;</w:t>
      </w:r>
      <w:r w:rsidRPr="00771EB4">
        <w:rPr>
          <w:rFonts w:ascii="Times New Roman" w:hAnsi="Times New Roman" w:cs="Times New Roman"/>
          <w:sz w:val="24"/>
          <w:szCs w:val="24"/>
        </w:rPr>
        <w:t xml:space="preserve"> of the end of the commodity super cycle, this activity was started in 2001 at the time when china joined the </w:t>
      </w:r>
      <w:r w:rsidR="00F32972" w:rsidRPr="00771EB4">
        <w:rPr>
          <w:rFonts w:ascii="Times New Roman" w:hAnsi="Times New Roman" w:cs="Times New Roman"/>
          <w:sz w:val="24"/>
          <w:szCs w:val="24"/>
        </w:rPr>
        <w:t>WTO (</w:t>
      </w:r>
      <w:r w:rsidRPr="00771EB4">
        <w:rPr>
          <w:rFonts w:ascii="Times New Roman" w:hAnsi="Times New Roman" w:cs="Times New Roman"/>
          <w:sz w:val="24"/>
          <w:szCs w:val="24"/>
        </w:rPr>
        <w:t xml:space="preserve">World Trade Organization), the country spent most of money and even borrowing </w:t>
      </w:r>
      <w:r w:rsidR="00F32972" w:rsidRPr="00771EB4">
        <w:rPr>
          <w:rFonts w:ascii="Times New Roman" w:hAnsi="Times New Roman" w:cs="Times New Roman"/>
          <w:sz w:val="24"/>
          <w:szCs w:val="24"/>
        </w:rPr>
        <w:t xml:space="preserve">of funds to expand their roads, airports and even the railroad. This activity led to increase the supplies of commodities which even created an end of the super cycle in 2011 during the period when there was a stagnant of the European growth. </w:t>
      </w:r>
      <w:r w:rsidR="00FE518A" w:rsidRPr="00771EB4">
        <w:rPr>
          <w:rFonts w:ascii="Times New Roman" w:hAnsi="Times New Roman" w:cs="Times New Roman"/>
          <w:sz w:val="24"/>
          <w:szCs w:val="24"/>
        </w:rPr>
        <w:t xml:space="preserve"> </w:t>
      </w:r>
    </w:p>
    <w:p w:rsidR="002E7780" w:rsidRPr="00771EB4" w:rsidRDefault="00FE518A" w:rsidP="00E17D53">
      <w:pPr>
        <w:spacing w:after="0" w:line="480" w:lineRule="auto"/>
        <w:ind w:firstLine="720"/>
        <w:contextualSpacing/>
        <w:rPr>
          <w:rFonts w:ascii="Times New Roman" w:hAnsi="Times New Roman" w:cs="Times New Roman"/>
          <w:sz w:val="24"/>
          <w:szCs w:val="24"/>
        </w:rPr>
      </w:pPr>
      <w:r w:rsidRPr="00771EB4">
        <w:rPr>
          <w:rFonts w:ascii="Times New Roman" w:hAnsi="Times New Roman" w:cs="Times New Roman"/>
          <w:sz w:val="24"/>
          <w:szCs w:val="24"/>
        </w:rPr>
        <w:t>Rising of labor cost and social unrest,</w:t>
      </w:r>
      <w:r w:rsidR="003747C2" w:rsidRPr="00771EB4">
        <w:rPr>
          <w:rFonts w:ascii="Times New Roman" w:hAnsi="Times New Roman" w:cs="Times New Roman"/>
          <w:sz w:val="24"/>
          <w:szCs w:val="24"/>
        </w:rPr>
        <w:t xml:space="preserve"> the rapid growth of the emerging markets has not only led to increase of </w:t>
      </w:r>
      <w:r w:rsidR="00145DB6" w:rsidRPr="00771EB4">
        <w:rPr>
          <w:rFonts w:ascii="Times New Roman" w:hAnsi="Times New Roman" w:cs="Times New Roman"/>
          <w:sz w:val="24"/>
          <w:szCs w:val="24"/>
        </w:rPr>
        <w:t>not only the standard of living but also income inequality the result enhanced by this has resulted to social unrest.  Similar to this the response of the employees as well as to that of the government is to enhance the increase of wages.  As a result of this there have been squeezes to the profit margins.</w:t>
      </w:r>
      <w:r w:rsidRPr="00771EB4">
        <w:rPr>
          <w:rFonts w:ascii="Times New Roman" w:hAnsi="Times New Roman" w:cs="Times New Roman"/>
          <w:sz w:val="24"/>
          <w:szCs w:val="24"/>
        </w:rPr>
        <w:t xml:space="preserve"> A close note on this is the MSCI emerging Market index and the Commodity Research Bureau Raw Industrial Spot Price which they sharply peaked in 2011 but later also fell sharply and with these result they have been shifting in flat trends since then.</w:t>
      </w:r>
    </w:p>
    <w:p w:rsidR="00145DB6" w:rsidRPr="00771EB4" w:rsidRDefault="002D7B7C" w:rsidP="00E17D53">
      <w:pPr>
        <w:spacing w:after="0" w:line="480" w:lineRule="auto"/>
        <w:ind w:firstLine="720"/>
        <w:contextualSpacing/>
        <w:rPr>
          <w:rFonts w:ascii="Times New Roman" w:hAnsi="Times New Roman" w:cs="Times New Roman"/>
          <w:sz w:val="24"/>
          <w:szCs w:val="24"/>
        </w:rPr>
      </w:pPr>
      <w:r w:rsidRPr="00771EB4">
        <w:rPr>
          <w:rFonts w:ascii="Times New Roman" w:hAnsi="Times New Roman" w:cs="Times New Roman"/>
          <w:sz w:val="24"/>
          <w:szCs w:val="24"/>
        </w:rPr>
        <w:t>Barriers to infrastructure isn’t a single thing, headlines have been hitting in nations explaining of the infrastructure crisis, generation of good infrastructure including of the roads, airports and bridges.  Lack of investment in the infras</w:t>
      </w:r>
      <w:r w:rsidR="00842CC5" w:rsidRPr="00771EB4">
        <w:rPr>
          <w:rFonts w:ascii="Times New Roman" w:hAnsi="Times New Roman" w:cs="Times New Roman"/>
          <w:sz w:val="24"/>
          <w:szCs w:val="24"/>
        </w:rPr>
        <w:t xml:space="preserve">tructure is hence a big problem. Another barrier is of the diffusion of innovative technology to which there have been low research on the best technologies which can be enhanced towards better infrastructure and most of the majority time is used in driving of problems and having low developmental strategies. </w:t>
      </w:r>
      <w:r w:rsidR="001A56DB" w:rsidRPr="00771EB4">
        <w:rPr>
          <w:rFonts w:ascii="Times New Roman" w:hAnsi="Times New Roman" w:cs="Times New Roman"/>
          <w:sz w:val="24"/>
          <w:szCs w:val="24"/>
        </w:rPr>
        <w:t xml:space="preserve">As a leader </w:t>
      </w:r>
      <w:r w:rsidR="001A56DB" w:rsidRPr="00771EB4">
        <w:rPr>
          <w:rFonts w:ascii="Times New Roman" w:hAnsi="Times New Roman" w:cs="Times New Roman"/>
          <w:sz w:val="24"/>
          <w:szCs w:val="24"/>
        </w:rPr>
        <w:lastRenderedPageBreak/>
        <w:t>solution towards infrastructure barriers can significantly be towards high investments in infrastructure and formulating ideas to bridge on the funding gap and thus empowering of the state and having the local governments enabling greater flexibility in the manner federal funding is spent</w:t>
      </w:r>
      <w:r w:rsidR="00FD7339" w:rsidRPr="00771EB4">
        <w:rPr>
          <w:rFonts w:ascii="Times New Roman" w:hAnsi="Times New Roman" w:cs="Times New Roman"/>
          <w:sz w:val="24"/>
          <w:szCs w:val="24"/>
        </w:rPr>
        <w:t xml:space="preserve">, also taking a role in attracting of and advising of investors and helping them in prioritizing of projects as determining the best ways to deliver. Increasing of the tax gap- can also help in maintenances and also creating of new and better infrastructures. </w:t>
      </w:r>
      <w:r w:rsidR="001A56DB" w:rsidRPr="00771EB4">
        <w:rPr>
          <w:rFonts w:ascii="Times New Roman" w:hAnsi="Times New Roman" w:cs="Times New Roman"/>
          <w:sz w:val="24"/>
          <w:szCs w:val="24"/>
        </w:rPr>
        <w:t xml:space="preserve"> In relation to the innovations </w:t>
      </w:r>
      <w:r w:rsidR="00FD7339" w:rsidRPr="00771EB4">
        <w:rPr>
          <w:rFonts w:ascii="Times New Roman" w:hAnsi="Times New Roman" w:cs="Times New Roman"/>
          <w:sz w:val="24"/>
          <w:szCs w:val="24"/>
        </w:rPr>
        <w:t>a</w:t>
      </w:r>
      <w:r w:rsidR="001A56DB" w:rsidRPr="00771EB4">
        <w:rPr>
          <w:rFonts w:ascii="Times New Roman" w:hAnsi="Times New Roman" w:cs="Times New Roman"/>
          <w:sz w:val="24"/>
          <w:szCs w:val="24"/>
        </w:rPr>
        <w:t xml:space="preserve">lso accelerating technology innovation processes towards infrastructure by increasing of research and better materials in the research field which can significantly bring good and effective results. </w:t>
      </w:r>
    </w:p>
    <w:p w:rsidR="00FD7339" w:rsidRPr="00771EB4" w:rsidRDefault="00E055AD" w:rsidP="00E17D5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Cultural dimensions;</w:t>
      </w:r>
      <w:r w:rsidR="00FD7339" w:rsidRPr="00771EB4">
        <w:rPr>
          <w:rFonts w:ascii="Times New Roman" w:hAnsi="Times New Roman" w:cs="Times New Roman"/>
          <w:sz w:val="24"/>
          <w:szCs w:val="24"/>
        </w:rPr>
        <w:t xml:space="preserve"> lack of cultural awareness and its understanding </w:t>
      </w:r>
      <w:r w:rsidRPr="00771EB4">
        <w:rPr>
          <w:rFonts w:ascii="Times New Roman" w:hAnsi="Times New Roman" w:cs="Times New Roman"/>
          <w:sz w:val="24"/>
          <w:szCs w:val="24"/>
        </w:rPr>
        <w:t>are</w:t>
      </w:r>
      <w:r w:rsidR="00FD7339" w:rsidRPr="00771EB4">
        <w:rPr>
          <w:rFonts w:ascii="Times New Roman" w:hAnsi="Times New Roman" w:cs="Times New Roman"/>
          <w:sz w:val="24"/>
          <w:szCs w:val="24"/>
        </w:rPr>
        <w:t xml:space="preserve"> a barrier to which many of the businesses have been greatly stricken by. Many entrepreneurs are not well in understanding of the language and writing involved in their business locations.  Most of the nations are evident to follow their customs and culture in facilitating their way of life, with entrepreneurs not having got this they majorly find their businesses falling as due to lack of accurate information.</w:t>
      </w:r>
      <w:r w:rsidR="007B72E2" w:rsidRPr="00771EB4">
        <w:rPr>
          <w:rFonts w:ascii="Times New Roman" w:hAnsi="Times New Roman" w:cs="Times New Roman"/>
          <w:sz w:val="24"/>
          <w:szCs w:val="24"/>
        </w:rPr>
        <w:t xml:space="preserve"> There a lot of investors who are facing risks in the emerging markets and which they change their ideas within no time. In nations such as Kenya there have been a lot of corruption crisis to which there is low employment chances and poverty also the political unstable nations can result to wars significantly implying of a potential risk due to this factor. </w:t>
      </w:r>
    </w:p>
    <w:p w:rsidR="00792A6B" w:rsidRDefault="007B72E2" w:rsidP="00E17D53">
      <w:pPr>
        <w:spacing w:after="0" w:line="480" w:lineRule="auto"/>
        <w:ind w:firstLine="720"/>
        <w:contextualSpacing/>
        <w:rPr>
          <w:rFonts w:ascii="Times New Roman" w:hAnsi="Times New Roman" w:cs="Times New Roman"/>
          <w:sz w:val="24"/>
          <w:szCs w:val="24"/>
        </w:rPr>
      </w:pPr>
      <w:r w:rsidRPr="00771EB4">
        <w:rPr>
          <w:rFonts w:ascii="Times New Roman" w:hAnsi="Times New Roman" w:cs="Times New Roman"/>
          <w:sz w:val="24"/>
          <w:szCs w:val="24"/>
        </w:rPr>
        <w:t xml:space="preserve">As a global leader researching of the local people culture and beliefs can be my first drive before setting any investment in any location. Cultures are greatly followed by many any having an understanding of them can result to great success. </w:t>
      </w:r>
      <w:r w:rsidR="00771EB4" w:rsidRPr="00771EB4">
        <w:rPr>
          <w:rFonts w:ascii="Times New Roman" w:hAnsi="Times New Roman" w:cs="Times New Roman"/>
          <w:sz w:val="24"/>
          <w:szCs w:val="24"/>
        </w:rPr>
        <w:t xml:space="preserve"> Belief in the market can yield to greater heights no matter the oncoming risks, learning the best way to deal with the risks i</w:t>
      </w:r>
      <w:r w:rsidR="00E17D53">
        <w:rPr>
          <w:rFonts w:ascii="Times New Roman" w:hAnsi="Times New Roman" w:cs="Times New Roman"/>
          <w:sz w:val="24"/>
          <w:szCs w:val="24"/>
        </w:rPr>
        <w:t xml:space="preserve">s what it takes to move forward. </w:t>
      </w:r>
    </w:p>
    <w:p w:rsidR="00E055AD" w:rsidRDefault="00E055AD" w:rsidP="00792A6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022E5" w:rsidRPr="00771EB4" w:rsidRDefault="00D82C67" w:rsidP="00792A6B">
      <w:pPr>
        <w:spacing w:line="480" w:lineRule="auto"/>
        <w:ind w:left="720" w:hanging="720"/>
        <w:rPr>
          <w:rFonts w:ascii="Times New Roman" w:hAnsi="Times New Roman" w:cs="Times New Roman"/>
          <w:sz w:val="24"/>
          <w:szCs w:val="24"/>
        </w:rPr>
      </w:pPr>
      <w:hyperlink r:id="rId7" w:history="1">
        <w:r w:rsidR="004022E5" w:rsidRPr="00771EB4">
          <w:rPr>
            <w:rStyle w:val="Hyperlink"/>
            <w:rFonts w:ascii="Times New Roman" w:hAnsi="Times New Roman" w:cs="Times New Roman"/>
            <w:color w:val="auto"/>
            <w:sz w:val="24"/>
            <w:szCs w:val="24"/>
          </w:rPr>
          <w:t>https://www.atkinsglobal.com/en-gb/angles/all-angles/overcoming-barriers-to-infrastructure-investment</w:t>
        </w:r>
      </w:hyperlink>
    </w:p>
    <w:p w:rsidR="004022E5" w:rsidRPr="00792A6B" w:rsidRDefault="004022E5" w:rsidP="00792A6B">
      <w:pPr>
        <w:spacing w:line="480" w:lineRule="auto"/>
        <w:ind w:left="720" w:hanging="720"/>
        <w:rPr>
          <w:rFonts w:ascii="Times New Roman" w:hAnsi="Times New Roman" w:cs="Times New Roman"/>
          <w:sz w:val="24"/>
          <w:szCs w:val="24"/>
        </w:rPr>
      </w:pPr>
      <w:r w:rsidRPr="00771EB4">
        <w:rPr>
          <w:rFonts w:ascii="Times New Roman" w:hAnsi="Times New Roman" w:cs="Times New Roman"/>
          <w:sz w:val="24"/>
          <w:szCs w:val="24"/>
        </w:rPr>
        <w:t>https://www.nap.edu/read/798/chapter/5</w:t>
      </w:r>
    </w:p>
    <w:p w:rsidR="004022E5" w:rsidRPr="00771EB4" w:rsidRDefault="00D82C67" w:rsidP="00792A6B">
      <w:pPr>
        <w:spacing w:line="480" w:lineRule="auto"/>
        <w:ind w:left="720" w:hanging="720"/>
        <w:rPr>
          <w:rFonts w:ascii="Times New Roman" w:hAnsi="Times New Roman" w:cs="Times New Roman"/>
          <w:sz w:val="24"/>
          <w:szCs w:val="24"/>
        </w:rPr>
      </w:pPr>
      <w:hyperlink r:id="rId8" w:history="1">
        <w:r w:rsidR="004022E5" w:rsidRPr="00771EB4">
          <w:rPr>
            <w:rStyle w:val="Hyperlink"/>
            <w:rFonts w:ascii="Times New Roman" w:hAnsi="Times New Roman" w:cs="Times New Roman"/>
            <w:color w:val="auto"/>
            <w:sz w:val="24"/>
            <w:szCs w:val="24"/>
          </w:rPr>
          <w:t>https://www.emeraldinsight.com/doi/abs/10.1108/ECAM-12-2015-0200</w:t>
        </w:r>
      </w:hyperlink>
    </w:p>
    <w:p w:rsidR="00FE518A" w:rsidRDefault="00FE518A" w:rsidP="00792A6B">
      <w:pPr>
        <w:spacing w:line="480" w:lineRule="auto"/>
      </w:pPr>
    </w:p>
    <w:sectPr w:rsidR="00FE518A" w:rsidSect="00BA0FE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2C67" w:rsidRDefault="00D82C67" w:rsidP="00BA0FE2">
      <w:pPr>
        <w:spacing w:after="0" w:line="240" w:lineRule="auto"/>
      </w:pPr>
      <w:r>
        <w:separator/>
      </w:r>
    </w:p>
  </w:endnote>
  <w:endnote w:type="continuationSeparator" w:id="0">
    <w:p w:rsidR="00D82C67" w:rsidRDefault="00D82C67" w:rsidP="00BA0F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2C67" w:rsidRDefault="00D82C67" w:rsidP="00BA0FE2">
      <w:pPr>
        <w:spacing w:after="0" w:line="240" w:lineRule="auto"/>
      </w:pPr>
      <w:r>
        <w:separator/>
      </w:r>
    </w:p>
  </w:footnote>
  <w:footnote w:type="continuationSeparator" w:id="0">
    <w:p w:rsidR="00D82C67" w:rsidRDefault="00D82C67" w:rsidP="00BA0F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77635978"/>
      <w:docPartObj>
        <w:docPartGallery w:val="Page Numbers (Top of Page)"/>
        <w:docPartUnique/>
      </w:docPartObj>
    </w:sdtPr>
    <w:sdtEndPr>
      <w:rPr>
        <w:noProof/>
      </w:rPr>
    </w:sdtEndPr>
    <w:sdtContent>
      <w:p w:rsidR="00BA0FE2" w:rsidRPr="00792A6B" w:rsidRDefault="004022E5">
        <w:pPr>
          <w:pStyle w:val="Header"/>
          <w:jc w:val="right"/>
          <w:rPr>
            <w:rFonts w:ascii="Times New Roman" w:hAnsi="Times New Roman" w:cs="Times New Roman"/>
            <w:sz w:val="24"/>
            <w:szCs w:val="24"/>
          </w:rPr>
        </w:pPr>
        <w:r w:rsidRPr="00792A6B">
          <w:rPr>
            <w:rFonts w:ascii="Times New Roman" w:hAnsi="Times New Roman" w:cs="Times New Roman"/>
            <w:sz w:val="24"/>
            <w:szCs w:val="24"/>
          </w:rPr>
          <w:t xml:space="preserve">EMERGING MARKETS </w:t>
        </w:r>
        <w:r w:rsidRPr="00792A6B">
          <w:rPr>
            <w:rFonts w:ascii="Times New Roman" w:hAnsi="Times New Roman" w:cs="Times New Roman"/>
            <w:sz w:val="24"/>
            <w:szCs w:val="24"/>
          </w:rPr>
          <w:tab/>
        </w:r>
        <w:r w:rsidRPr="00792A6B">
          <w:rPr>
            <w:rFonts w:ascii="Times New Roman" w:hAnsi="Times New Roman" w:cs="Times New Roman"/>
            <w:sz w:val="24"/>
            <w:szCs w:val="24"/>
          </w:rPr>
          <w:tab/>
        </w:r>
        <w:r w:rsidR="00BA0FE2" w:rsidRPr="00792A6B">
          <w:rPr>
            <w:rFonts w:ascii="Times New Roman" w:hAnsi="Times New Roman" w:cs="Times New Roman"/>
            <w:sz w:val="24"/>
            <w:szCs w:val="24"/>
          </w:rPr>
          <w:fldChar w:fldCharType="begin"/>
        </w:r>
        <w:r w:rsidR="00BA0FE2" w:rsidRPr="00792A6B">
          <w:rPr>
            <w:rFonts w:ascii="Times New Roman" w:hAnsi="Times New Roman" w:cs="Times New Roman"/>
            <w:sz w:val="24"/>
            <w:szCs w:val="24"/>
          </w:rPr>
          <w:instrText xml:space="preserve"> PAGE   \* MERGEFORMAT </w:instrText>
        </w:r>
        <w:r w:rsidR="00BA0FE2" w:rsidRPr="00792A6B">
          <w:rPr>
            <w:rFonts w:ascii="Times New Roman" w:hAnsi="Times New Roman" w:cs="Times New Roman"/>
            <w:sz w:val="24"/>
            <w:szCs w:val="24"/>
          </w:rPr>
          <w:fldChar w:fldCharType="separate"/>
        </w:r>
        <w:r w:rsidR="00E17D53">
          <w:rPr>
            <w:rFonts w:ascii="Times New Roman" w:hAnsi="Times New Roman" w:cs="Times New Roman"/>
            <w:noProof/>
            <w:sz w:val="24"/>
            <w:szCs w:val="24"/>
          </w:rPr>
          <w:t>2</w:t>
        </w:r>
        <w:r w:rsidR="00BA0FE2" w:rsidRPr="00792A6B">
          <w:rPr>
            <w:rFonts w:ascii="Times New Roman" w:hAnsi="Times New Roman" w:cs="Times New Roman"/>
            <w:noProof/>
            <w:sz w:val="24"/>
            <w:szCs w:val="24"/>
          </w:rPr>
          <w:fldChar w:fldCharType="end"/>
        </w:r>
      </w:p>
    </w:sdtContent>
  </w:sdt>
  <w:p w:rsidR="00BA0FE2" w:rsidRPr="00792A6B" w:rsidRDefault="00BA0FE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0FE2" w:rsidRPr="00792A6B" w:rsidRDefault="00BA0FE2">
    <w:pPr>
      <w:pStyle w:val="Header"/>
      <w:rPr>
        <w:rFonts w:ascii="Times New Roman" w:hAnsi="Times New Roman" w:cs="Times New Roman"/>
        <w:sz w:val="24"/>
        <w:szCs w:val="24"/>
      </w:rPr>
    </w:pPr>
    <w:r w:rsidRPr="00792A6B">
      <w:rPr>
        <w:rFonts w:ascii="Times New Roman" w:hAnsi="Times New Roman" w:cs="Times New Roman"/>
        <w:sz w:val="24"/>
        <w:szCs w:val="24"/>
      </w:rPr>
      <w:t xml:space="preserve">Running Head: </w:t>
    </w:r>
    <w:r w:rsidR="004022E5" w:rsidRPr="00792A6B">
      <w:rPr>
        <w:rFonts w:ascii="Times New Roman" w:hAnsi="Times New Roman" w:cs="Times New Roman"/>
        <w:sz w:val="24"/>
        <w:szCs w:val="24"/>
      </w:rPr>
      <w:t>EMERGING MARKETS</w:t>
    </w:r>
    <w:r w:rsidR="004022E5" w:rsidRPr="00792A6B">
      <w:rPr>
        <w:rFonts w:ascii="Times New Roman" w:hAnsi="Times New Roman" w:cs="Times New Roman"/>
        <w:sz w:val="24"/>
        <w:szCs w:val="24"/>
      </w:rPr>
      <w:tab/>
    </w:r>
    <w:r w:rsidR="004022E5" w:rsidRPr="00792A6B">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YwNjM3tzSwNDM1MzFX0lEKTi0uzszPAykwrAUAQyQYoSwAAAA="/>
  </w:docVars>
  <w:rsids>
    <w:rsidRoot w:val="00C84716"/>
    <w:rsid w:val="00145DB6"/>
    <w:rsid w:val="001A56DB"/>
    <w:rsid w:val="002D7B7C"/>
    <w:rsid w:val="002E7780"/>
    <w:rsid w:val="003747C2"/>
    <w:rsid w:val="004022E5"/>
    <w:rsid w:val="004E7CF9"/>
    <w:rsid w:val="00771EB4"/>
    <w:rsid w:val="00792A6B"/>
    <w:rsid w:val="007B72E2"/>
    <w:rsid w:val="00842CC5"/>
    <w:rsid w:val="009845E4"/>
    <w:rsid w:val="00BA0FE2"/>
    <w:rsid w:val="00C84716"/>
    <w:rsid w:val="00D82C67"/>
    <w:rsid w:val="00E055AD"/>
    <w:rsid w:val="00E17D53"/>
    <w:rsid w:val="00F32972"/>
    <w:rsid w:val="00FD7339"/>
    <w:rsid w:val="00FE51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71EB4"/>
    <w:rPr>
      <w:color w:val="0000FF" w:themeColor="hyperlink"/>
      <w:u w:val="single"/>
    </w:rPr>
  </w:style>
  <w:style w:type="paragraph" w:styleId="Header">
    <w:name w:val="header"/>
    <w:basedOn w:val="Normal"/>
    <w:link w:val="HeaderChar"/>
    <w:uiPriority w:val="99"/>
    <w:unhideWhenUsed/>
    <w:rsid w:val="00BA0F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0FE2"/>
  </w:style>
  <w:style w:type="paragraph" w:styleId="Footer">
    <w:name w:val="footer"/>
    <w:basedOn w:val="Normal"/>
    <w:link w:val="FooterChar"/>
    <w:uiPriority w:val="99"/>
    <w:unhideWhenUsed/>
    <w:rsid w:val="00BA0F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0FE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71EB4"/>
    <w:rPr>
      <w:color w:val="0000FF" w:themeColor="hyperlink"/>
      <w:u w:val="single"/>
    </w:rPr>
  </w:style>
  <w:style w:type="paragraph" w:styleId="Header">
    <w:name w:val="header"/>
    <w:basedOn w:val="Normal"/>
    <w:link w:val="HeaderChar"/>
    <w:uiPriority w:val="99"/>
    <w:unhideWhenUsed/>
    <w:rsid w:val="00BA0F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0FE2"/>
  </w:style>
  <w:style w:type="paragraph" w:styleId="Footer">
    <w:name w:val="footer"/>
    <w:basedOn w:val="Normal"/>
    <w:link w:val="FooterChar"/>
    <w:uiPriority w:val="99"/>
    <w:unhideWhenUsed/>
    <w:rsid w:val="00BA0F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0F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eraldinsight.com/doi/abs/10.1108/ECAM-12-2015-0200" TargetMode="External"/><Relationship Id="rId3" Type="http://schemas.openxmlformats.org/officeDocument/2006/relationships/settings" Target="settings.xml"/><Relationship Id="rId7" Type="http://schemas.openxmlformats.org/officeDocument/2006/relationships/hyperlink" Target="https://www.atkinsglobal.com/en-gb/angles/all-angles/overcoming-barriers-to-infrastructure-investment"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663</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2018-10-12T16:54:00Z</dcterms:created>
  <dcterms:modified xsi:type="dcterms:W3CDTF">2018-10-12T16:54:00Z</dcterms:modified>
</cp:coreProperties>
</file>